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5267" w14:textId="3DCA23FC" w:rsidR="006D106A" w:rsidRDefault="003215D2">
      <w:r>
        <w:t>Evidencia SRFT 4° trimestre.</w:t>
      </w:r>
    </w:p>
    <w:p w14:paraId="0ED345B4" w14:textId="5CD04199" w:rsidR="003215D2" w:rsidRDefault="003215D2">
      <w:r w:rsidRPr="003215D2">
        <w:drawing>
          <wp:inline distT="0" distB="0" distL="0" distR="0" wp14:anchorId="3C716E50" wp14:editId="66BDCB93">
            <wp:extent cx="9144000" cy="5143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5D2" w:rsidSect="003215D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D2"/>
    <w:rsid w:val="003215D2"/>
    <w:rsid w:val="006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5EA3F"/>
  <w15:chartTrackingRefBased/>
  <w15:docId w15:val="{A180DFE2-2A9E-4829-811B-DC4F5412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ICATEP</dc:creator>
  <cp:keywords/>
  <dc:description/>
  <cp:lastModifiedBy>ICATEP</cp:lastModifiedBy>
  <cp:revision>1</cp:revision>
  <dcterms:created xsi:type="dcterms:W3CDTF">2025-01-15T21:12:00Z</dcterms:created>
  <dcterms:modified xsi:type="dcterms:W3CDTF">2025-01-15T21:14:00Z</dcterms:modified>
</cp:coreProperties>
</file>